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A4" w:rsidRPr="00D3321A" w:rsidRDefault="009767A4" w:rsidP="009767A4">
      <w:pPr>
        <w:rPr>
          <w:sz w:val="40"/>
          <w:szCs w:val="40"/>
          <w:lang w:eastAsia="fr-FR"/>
        </w:rPr>
      </w:pPr>
      <w:r w:rsidRPr="00D3321A">
        <w:rPr>
          <w:sz w:val="40"/>
          <w:szCs w:val="40"/>
          <w:lang w:eastAsia="fr-FR"/>
        </w:rPr>
        <w:t>PMA, GPA, fin de vie… la vague de fond libérale</w:t>
      </w:r>
    </w:p>
    <w:p w:rsidR="009767A4" w:rsidRPr="009767A4" w:rsidRDefault="009767A4" w:rsidP="009767A4">
      <w:pPr>
        <w:rPr>
          <w:lang w:eastAsia="fr-FR"/>
        </w:rPr>
      </w:pPr>
      <w:r w:rsidRPr="009767A4">
        <w:rPr>
          <w:lang w:eastAsia="fr-FR"/>
        </w:rPr>
        <w:t xml:space="preserve">Loup </w:t>
      </w:r>
      <w:proofErr w:type="spellStart"/>
      <w:r w:rsidRPr="009767A4">
        <w:rPr>
          <w:lang w:eastAsia="fr-FR"/>
        </w:rPr>
        <w:t>Besmond</w:t>
      </w:r>
      <w:proofErr w:type="spellEnd"/>
      <w:r w:rsidRPr="009767A4">
        <w:rPr>
          <w:lang w:eastAsia="fr-FR"/>
        </w:rPr>
        <w:t xml:space="preserve"> de </w:t>
      </w:r>
      <w:proofErr w:type="spellStart"/>
      <w:proofErr w:type="gramStart"/>
      <w:r w:rsidRPr="009767A4">
        <w:rPr>
          <w:lang w:eastAsia="fr-FR"/>
        </w:rPr>
        <w:t>Senneville</w:t>
      </w:r>
      <w:proofErr w:type="spellEnd"/>
      <w:r w:rsidRPr="009767A4">
        <w:rPr>
          <w:lang w:eastAsia="fr-FR"/>
        </w:rPr>
        <w:t xml:space="preserve"> ,</w:t>
      </w:r>
      <w:proofErr w:type="gramEnd"/>
      <w:r w:rsidRPr="009767A4">
        <w:rPr>
          <w:lang w:eastAsia="fr-FR"/>
        </w:rPr>
        <w:t xml:space="preserve"> le 03/01/2018 à 6h00 </w:t>
      </w:r>
    </w:p>
    <w:p w:rsidR="00D3321A" w:rsidRDefault="00D3321A" w:rsidP="009767A4">
      <w:pPr>
        <w:rPr>
          <w:lang w:eastAsia="fr-FR"/>
        </w:rPr>
      </w:pPr>
    </w:p>
    <w:p w:rsidR="00D3321A" w:rsidRDefault="00D3321A" w:rsidP="009767A4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68EA7C7" wp14:editId="29C73950">
            <wp:simplePos x="0" y="0"/>
            <wp:positionH relativeFrom="column">
              <wp:posOffset>27940</wp:posOffset>
            </wp:positionH>
            <wp:positionV relativeFrom="paragraph">
              <wp:posOffset>36195</wp:posOffset>
            </wp:positionV>
            <wp:extent cx="3898900" cy="8068945"/>
            <wp:effectExtent l="0" t="0" r="6350" b="8255"/>
            <wp:wrapSquare wrapText="bothSides"/>
            <wp:docPr id="1" name="Image 1" descr="PMA, GPA,  fin de vie…  la vague de fond lib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A, GPA,  fin de vie…  la vague de fond libér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806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21A" w:rsidRDefault="00D3321A" w:rsidP="009767A4">
      <w:pPr>
        <w:rPr>
          <w:lang w:eastAsia="fr-FR"/>
        </w:rPr>
      </w:pPr>
    </w:p>
    <w:p w:rsidR="009767A4" w:rsidRPr="009767A4" w:rsidRDefault="009767A4" w:rsidP="009767A4">
      <w:pPr>
        <w:rPr>
          <w:lang w:eastAsia="fr-FR"/>
        </w:rPr>
      </w:pPr>
      <w:r w:rsidRPr="009767A4">
        <w:rPr>
          <w:lang w:eastAsia="fr-FR"/>
        </w:rPr>
        <w:t xml:space="preserve">Le sondage </w:t>
      </w:r>
      <w:proofErr w:type="spellStart"/>
      <w:r w:rsidRPr="009767A4">
        <w:rPr>
          <w:lang w:eastAsia="fr-FR"/>
        </w:rPr>
        <w:t>Ifop</w:t>
      </w:r>
      <w:proofErr w:type="spellEnd"/>
      <w:r w:rsidRPr="009767A4">
        <w:rPr>
          <w:lang w:eastAsia="fr-FR"/>
        </w:rPr>
        <w:t xml:space="preserve"> pour </w:t>
      </w:r>
      <w:r w:rsidRPr="009767A4">
        <w:rPr>
          <w:i/>
          <w:iCs/>
          <w:lang w:eastAsia="fr-FR"/>
        </w:rPr>
        <w:t>La Croix</w:t>
      </w:r>
      <w:r w:rsidRPr="009767A4">
        <w:rPr>
          <w:lang w:eastAsia="fr-FR"/>
        </w:rPr>
        <w:t xml:space="preserve"> et le Forum européen de bioéthique confirme la mutation anthropologique de la société française.</w:t>
      </w:r>
    </w:p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9767A4" w:rsidRDefault="009767A4"/>
    <w:p w:rsidR="00E47231" w:rsidRDefault="00E47231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D3321A"/>
    <w:p w:rsidR="00D3321A" w:rsidRDefault="00FB17E6">
      <w:r w:rsidRPr="00FB17E6">
        <w:lastRenderedPageBreak/>
        <w:t xml:space="preserve">Les chiffres étonnent par leur ampleur. Le sondage mené par </w:t>
      </w:r>
      <w:proofErr w:type="spellStart"/>
      <w:r w:rsidRPr="00FB17E6">
        <w:t>l’Ifop</w:t>
      </w:r>
      <w:proofErr w:type="spellEnd"/>
      <w:r w:rsidRPr="00FB17E6">
        <w:t xml:space="preserve"> pour La Croix et le Forum européen de bioéthique confirme le consentement d’une grande partie de la société à des sujets comme l’élargissement de la procréation médicalement assistée (PMA) aux couples de femmes (60 %) et aux femmes seules (57 %), à une évolution de la loi sur la fin de vie (89 %), ou, plus surprenant encore, à la levée de l’interdiction de la gestation pour autrui (GPA) (64 %). Des chiffres qui dessinent l’image d’une société libérale sur des questions « importantes », comme 89 % des Français le reconnaissent par ailleurs.</w:t>
      </w:r>
    </w:p>
    <w:p w:rsidR="00D3321A" w:rsidRDefault="00D3321A"/>
    <w:p w:rsidR="00FB17E6" w:rsidRDefault="00FB17E6" w:rsidP="00FB17E6">
      <w:r>
        <w:t xml:space="preserve">« La vieille matrice structurante de la société qui était très clairement d’inspiration chrétienne et catholique est en train de s’effriter à vitesse grand V », estime Jérôme </w:t>
      </w:r>
      <w:proofErr w:type="spellStart"/>
      <w:r>
        <w:t>Fourquet</w:t>
      </w:r>
      <w:proofErr w:type="spellEnd"/>
      <w:r>
        <w:t xml:space="preserve">, directeur du département opinion de </w:t>
      </w:r>
      <w:proofErr w:type="spellStart"/>
      <w:r>
        <w:t>l’Ifop</w:t>
      </w:r>
      <w:proofErr w:type="spellEnd"/>
      <w:r>
        <w:t>. Les résultats de l’enquête révèlent selon lui « l’ancrage d’un basculement anthropologique dans la société française, à la faveur de la déchristianisation de la société et de la poussée de l’individualisme ».</w:t>
      </w:r>
    </w:p>
    <w:p w:rsidR="00FB17E6" w:rsidRDefault="00FB17E6" w:rsidP="00FB17E6"/>
    <w:p w:rsidR="00FB17E6" w:rsidRDefault="00FB17E6" w:rsidP="00FB17E6">
      <w:r>
        <w:t>Le sondeur avoue aussi être étonné du rythme auquel l’opinion a évolué au cours des dernières années sur ces sujets. « Au début des années 1990, l’adhésion à l’ouverture de la PMA pour les couples de femmes était de 24 %. Aujourd’hui, c’est presque trois fois plus. »</w:t>
      </w:r>
    </w:p>
    <w:p w:rsidR="00FB17E6" w:rsidRDefault="00FB17E6" w:rsidP="00FB17E6"/>
    <w:p w:rsidR="00FB17E6" w:rsidRDefault="00FB17E6" w:rsidP="00FB17E6">
      <w:r>
        <w:t>Au-delà de son rythme rapide, l’évolution est marquée par un effet domino</w:t>
      </w:r>
      <w:r>
        <w:rPr>
          <w:rFonts w:ascii="Arial" w:hAnsi="Arial" w:cs="Arial"/>
        </w:rPr>
        <w:t> </w:t>
      </w:r>
      <w:r>
        <w:t xml:space="preserve">: </w:t>
      </w:r>
      <w:r>
        <w:rPr>
          <w:rFonts w:cs="Verdana"/>
        </w:rPr>
        <w:t>«</w:t>
      </w:r>
      <w:r>
        <w:t xml:space="preserve"> M</w:t>
      </w:r>
      <w:r>
        <w:rPr>
          <w:rFonts w:cs="Verdana"/>
        </w:rPr>
        <w:t>ê</w:t>
      </w:r>
      <w:r>
        <w:t xml:space="preserve">me si les </w:t>
      </w:r>
      <w:r>
        <w:rPr>
          <w:rFonts w:cs="Verdana"/>
        </w:rPr>
        <w:t>é</w:t>
      </w:r>
      <w:r>
        <w:t>volutions sont tr</w:t>
      </w:r>
      <w:r>
        <w:rPr>
          <w:rFonts w:cs="Verdana"/>
        </w:rPr>
        <w:t>è</w:t>
      </w:r>
      <w:r>
        <w:t>s rapides, la soci</w:t>
      </w:r>
      <w:r>
        <w:rPr>
          <w:rFonts w:cs="Verdana"/>
        </w:rPr>
        <w:t>é</w:t>
      </w:r>
      <w:r>
        <w:t>t</w:t>
      </w:r>
      <w:r>
        <w:rPr>
          <w:rFonts w:cs="Verdana"/>
        </w:rPr>
        <w:t>é</w:t>
      </w:r>
      <w:r>
        <w:t xml:space="preserve"> ne change pas d</w:t>
      </w:r>
      <w:r>
        <w:rPr>
          <w:rFonts w:cs="Verdana"/>
        </w:rPr>
        <w:t>’</w:t>
      </w:r>
      <w:r>
        <w:t xml:space="preserve">un seul coup, mais par </w:t>
      </w:r>
      <w:r>
        <w:rPr>
          <w:rFonts w:cs="Verdana"/>
        </w:rPr>
        <w:t>é</w:t>
      </w:r>
      <w:r>
        <w:t>tapes. L</w:t>
      </w:r>
      <w:r>
        <w:rPr>
          <w:rFonts w:cs="Verdana"/>
        </w:rPr>
        <w:t>’</w:t>
      </w:r>
      <w:r>
        <w:t>opinion a adh</w:t>
      </w:r>
      <w:r>
        <w:rPr>
          <w:rFonts w:cs="Verdana"/>
        </w:rPr>
        <w:t>é­</w:t>
      </w:r>
      <w:r>
        <w:t>r</w:t>
      </w:r>
      <w:r>
        <w:rPr>
          <w:rFonts w:cs="Verdana"/>
        </w:rPr>
        <w:t>é</w:t>
      </w:r>
      <w:r>
        <w:t xml:space="preserve"> au mariage pour les couples homosexuels deux ou trois ans apr</w:t>
      </w:r>
      <w:r>
        <w:rPr>
          <w:rFonts w:cs="Verdana"/>
        </w:rPr>
        <w:t>è</w:t>
      </w:r>
      <w:r>
        <w:t>s avoir accept</w:t>
      </w:r>
      <w:r>
        <w:rPr>
          <w:rFonts w:cs="Verdana"/>
        </w:rPr>
        <w:t>é</w:t>
      </w:r>
      <w:r>
        <w:t xml:space="preserve"> le pacs. De m</w:t>
      </w:r>
      <w:r>
        <w:rPr>
          <w:rFonts w:cs="Verdana"/>
        </w:rPr>
        <w:t>ê</w:t>
      </w:r>
      <w:r>
        <w:t>me, les Fran</w:t>
      </w:r>
      <w:r>
        <w:rPr>
          <w:rFonts w:cs="Verdana"/>
        </w:rPr>
        <w:t>ç</w:t>
      </w:r>
      <w:r>
        <w:t>ais se sont dits en faveur de l’adoption par les couples homosexuels quelque temps après l’inscription du “mariage pour tous” dans la loi. »</w:t>
      </w:r>
    </w:p>
    <w:p w:rsidR="00FB17E6" w:rsidRDefault="00FB17E6" w:rsidP="00FB17E6"/>
    <w:p w:rsidR="00FB17E6" w:rsidRDefault="00FB17E6" w:rsidP="00FB17E6">
      <w:r>
        <w:t xml:space="preserve">Autre enseignement de ce sondage, la grande homogénéité de la société dans ses réponses. « Les plus âgés sont un peu plus réticents, détaille encore Jérôme </w:t>
      </w:r>
      <w:proofErr w:type="spellStart"/>
      <w:r>
        <w:t>Fourquet</w:t>
      </w:r>
      <w:proofErr w:type="spellEnd"/>
      <w:r>
        <w:t>. Mais il n’existe aucun clivage majeur ni entre les générations, ni selon les préférences politiques. Cela confirme qu’il s’agit d’une vague de fond. »</w:t>
      </w:r>
    </w:p>
    <w:p w:rsidR="00FB17E6" w:rsidRDefault="00FB17E6" w:rsidP="00FB17E6"/>
    <w:p w:rsidR="00FB17E6" w:rsidRDefault="00FB17E6" w:rsidP="00FB17E6">
      <w:r>
        <w:t>Et les catholiques pratiquants</w:t>
      </w:r>
      <w:r>
        <w:rPr>
          <w:rFonts w:ascii="Arial" w:hAnsi="Arial" w:cs="Arial"/>
        </w:rPr>
        <w:t> </w:t>
      </w:r>
      <w:r>
        <w:t>? Le sondage fait appara</w:t>
      </w:r>
      <w:r>
        <w:rPr>
          <w:rFonts w:cs="Verdana"/>
        </w:rPr>
        <w:t>î</w:t>
      </w:r>
      <w:r>
        <w:t>tre qu</w:t>
      </w:r>
      <w:r>
        <w:rPr>
          <w:rFonts w:cs="Verdana"/>
        </w:rPr>
        <w:t>’</w:t>
      </w:r>
      <w:r>
        <w:t>ils demeurent l</w:t>
      </w:r>
      <w:r>
        <w:rPr>
          <w:rFonts w:cs="Verdana"/>
        </w:rPr>
        <w:t>é</w:t>
      </w:r>
      <w:r>
        <w:t>g</w:t>
      </w:r>
      <w:r>
        <w:rPr>
          <w:rFonts w:cs="Verdana"/>
        </w:rPr>
        <w:t>è</w:t>
      </w:r>
      <w:r>
        <w:t xml:space="preserve">rement moins favorables </w:t>
      </w:r>
      <w:r>
        <w:rPr>
          <w:rFonts w:cs="Verdana"/>
        </w:rPr>
        <w:t>à</w:t>
      </w:r>
      <w:r>
        <w:t xml:space="preserve"> la GPA (46 %), </w:t>
      </w:r>
      <w:r>
        <w:rPr>
          <w:rFonts w:cs="Verdana"/>
        </w:rPr>
        <w:t>à</w:t>
      </w:r>
      <w:r>
        <w:t xml:space="preserve"> la PMA (35 %) et </w:t>
      </w:r>
      <w:r>
        <w:rPr>
          <w:rFonts w:cs="Verdana"/>
        </w:rPr>
        <w:t>à</w:t>
      </w:r>
      <w:r>
        <w:t xml:space="preserve"> l</w:t>
      </w:r>
      <w:r>
        <w:rPr>
          <w:rFonts w:cs="Verdana"/>
        </w:rPr>
        <w:t>’é</w:t>
      </w:r>
      <w:r>
        <w:t>volution de la loi sur la fin de vie (72 %) que le reste des Fran</w:t>
      </w:r>
      <w:r>
        <w:rPr>
          <w:rFonts w:cs="Verdana"/>
        </w:rPr>
        <w:t>ç</w:t>
      </w:r>
      <w:r>
        <w:t xml:space="preserve">ais, soit de 10 </w:t>
      </w:r>
      <w:r>
        <w:rPr>
          <w:rFonts w:cs="Verdana"/>
        </w:rPr>
        <w:t>à</w:t>
      </w:r>
      <w:r>
        <w:t xml:space="preserve"> 20 points de moins. </w:t>
      </w:r>
      <w:r>
        <w:rPr>
          <w:rFonts w:cs="Verdana"/>
        </w:rPr>
        <w:t>«</w:t>
      </w:r>
      <w:r>
        <w:t xml:space="preserve"> M</w:t>
      </w:r>
      <w:r>
        <w:rPr>
          <w:rFonts w:cs="Verdana"/>
        </w:rPr>
        <w:t>ê</w:t>
      </w:r>
      <w:r>
        <w:t xml:space="preserve">me s’il existe une marge d’erreur de 5 à 6 points, on ne peut pas dire que les catholiques sont totalement à rebours de la société française en la matière », constate Jérôme </w:t>
      </w:r>
      <w:proofErr w:type="spellStart"/>
      <w:r>
        <w:t>Fourquet</w:t>
      </w:r>
      <w:proofErr w:type="spellEnd"/>
      <w:r>
        <w:t>.</w:t>
      </w:r>
    </w:p>
    <w:p w:rsidR="00FB17E6" w:rsidRDefault="00FB17E6" w:rsidP="00FB17E6"/>
    <w:p w:rsidR="00FB17E6" w:rsidRDefault="00FB17E6" w:rsidP="00FB17E6">
      <w:r>
        <w:t>Les seuls îlots de résistance qui apparaissent sont la gratuité et l’anonymat des dons de gamète, deux principes fondamentaux que la plupart des sondés veulent conserver. Sans réaliser que ceux-ci risquent d’être remis en cause par l’ouverture potentielle de la PMA à des célibataires et à des couples de femmes</w:t>
      </w:r>
      <w:r>
        <w:rPr>
          <w:rFonts w:ascii="Arial" w:hAnsi="Arial" w:cs="Arial"/>
        </w:rPr>
        <w:t> </w:t>
      </w:r>
      <w:r>
        <w:t>: compte tenu de la pénurie de sperme, cette extension pourrait inciter à accepter de rémunérer les donneurs.</w:t>
      </w:r>
    </w:p>
    <w:p w:rsidR="00D3321A" w:rsidRDefault="00FB17E6" w:rsidP="00FB17E6">
      <w:r>
        <w:t xml:space="preserve">Loup </w:t>
      </w:r>
      <w:proofErr w:type="spellStart"/>
      <w:r>
        <w:t>Besmond</w:t>
      </w:r>
      <w:proofErr w:type="spellEnd"/>
      <w:r>
        <w:t xml:space="preserve"> de </w:t>
      </w:r>
      <w:proofErr w:type="spellStart"/>
      <w:r>
        <w:t>Senneville</w:t>
      </w:r>
      <w:bookmarkStart w:id="0" w:name="_GoBack"/>
      <w:bookmarkEnd w:id="0"/>
      <w:proofErr w:type="spellEnd"/>
    </w:p>
    <w:p w:rsidR="00D3321A" w:rsidRDefault="00D3321A"/>
    <w:sectPr w:rsidR="00D3321A" w:rsidSect="00976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DB"/>
    <w:multiLevelType w:val="multilevel"/>
    <w:tmpl w:val="87A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A4"/>
    <w:rsid w:val="001A2F83"/>
    <w:rsid w:val="00212C30"/>
    <w:rsid w:val="007775DB"/>
    <w:rsid w:val="00870AE8"/>
    <w:rsid w:val="009767A4"/>
    <w:rsid w:val="00C767AF"/>
    <w:rsid w:val="00D3321A"/>
    <w:rsid w:val="00E47231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E8"/>
    <w:pPr>
      <w:spacing w:after="0" w:line="240" w:lineRule="auto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uiPriority w:val="9"/>
    <w:qFormat/>
    <w:rsid w:val="001A2F8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next w:val="Normal"/>
    <w:uiPriority w:val="1"/>
    <w:rsid w:val="001A2F83"/>
    <w:pPr>
      <w:ind w:left="708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1A2F83"/>
    <w:rPr>
      <w:rFonts w:ascii="Verdana" w:eastAsiaTheme="majorEastAsia" w:hAnsi="Verdana" w:cstheme="majorBidi"/>
      <w:b/>
      <w:bCs/>
      <w:color w:val="000000" w:themeColor="text1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7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767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67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767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E8"/>
    <w:pPr>
      <w:spacing w:after="0" w:line="240" w:lineRule="auto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uiPriority w:val="9"/>
    <w:qFormat/>
    <w:rsid w:val="001A2F8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next w:val="Normal"/>
    <w:uiPriority w:val="1"/>
    <w:rsid w:val="001A2F83"/>
    <w:pPr>
      <w:ind w:left="708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1A2F83"/>
    <w:rPr>
      <w:rFonts w:ascii="Verdana" w:eastAsiaTheme="majorEastAsia" w:hAnsi="Verdana" w:cstheme="majorBidi"/>
      <w:b/>
      <w:bCs/>
      <w:color w:val="000000" w:themeColor="text1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7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767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67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76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2018-01-03T08:59:00Z</dcterms:created>
  <dcterms:modified xsi:type="dcterms:W3CDTF">2018-01-03T09:05:00Z</dcterms:modified>
</cp:coreProperties>
</file>